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8273FF4" w:rsidR="000B7810" w:rsidRPr="007A6632" w:rsidRDefault="001A024F" w:rsidP="00AD16FD">
      <w:pPr>
        <w:tabs>
          <w:tab w:val="left" w:leader="underscore" w:pos="9639"/>
        </w:tabs>
        <w:spacing w:after="0" w:line="240" w:lineRule="auto"/>
        <w:ind w:left="9926" w:hanging="9926"/>
        <w:jc w:val="both"/>
        <w:rPr>
          <w:rFonts w:asciiTheme="minorHAnsi" w:hAnsiTheme="minorHAnsi" w:cstheme="minorHAnsi"/>
        </w:rPr>
      </w:pPr>
      <w:r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1249C9"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11F45BC1" w14:textId="090AB250"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6670B867" w14:textId="69C434E8"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141563">
              <w:rPr>
                <w:noProof/>
                <w:webHidden/>
              </w:rPr>
              <w:t>2</w:t>
            </w:r>
            <w:r w:rsidR="000B2F59">
              <w:rPr>
                <w:noProof/>
                <w:webHidden/>
              </w:rPr>
              <w:fldChar w:fldCharType="end"/>
            </w:r>
          </w:hyperlink>
        </w:p>
        <w:p w14:paraId="0D5F3797" w14:textId="418A0B2C"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141563">
              <w:rPr>
                <w:noProof/>
                <w:webHidden/>
              </w:rPr>
              <w:t>3</w:t>
            </w:r>
            <w:r w:rsidR="000B2F59">
              <w:rPr>
                <w:noProof/>
                <w:webHidden/>
              </w:rPr>
              <w:fldChar w:fldCharType="end"/>
            </w:r>
          </w:hyperlink>
        </w:p>
        <w:p w14:paraId="18E44C1D" w14:textId="66567969"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141563">
              <w:rPr>
                <w:noProof/>
                <w:webHidden/>
              </w:rPr>
              <w:t>5</w:t>
            </w:r>
            <w:r w:rsidR="000B2F59">
              <w:rPr>
                <w:noProof/>
                <w:webHidden/>
              </w:rPr>
              <w:fldChar w:fldCharType="end"/>
            </w:r>
          </w:hyperlink>
        </w:p>
        <w:p w14:paraId="0948A71E" w14:textId="2FAF8063"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141563">
              <w:rPr>
                <w:noProof/>
                <w:webHidden/>
              </w:rPr>
              <w:t>7</w:t>
            </w:r>
            <w:r w:rsidR="000B2F59">
              <w:rPr>
                <w:noProof/>
                <w:webHidden/>
              </w:rPr>
              <w:fldChar w:fldCharType="end"/>
            </w:r>
          </w:hyperlink>
        </w:p>
        <w:p w14:paraId="433FCE50" w14:textId="0F49A880"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141563">
              <w:rPr>
                <w:noProof/>
                <w:webHidden/>
              </w:rPr>
              <w:t>9</w:t>
            </w:r>
            <w:r w:rsidR="000B2F59">
              <w:rPr>
                <w:noProof/>
                <w:webHidden/>
              </w:rPr>
              <w:fldChar w:fldCharType="end"/>
            </w:r>
          </w:hyperlink>
        </w:p>
        <w:p w14:paraId="01DAB78C" w14:textId="696080A1"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141563">
              <w:rPr>
                <w:noProof/>
                <w:webHidden/>
              </w:rPr>
              <w:t>9</w:t>
            </w:r>
            <w:r w:rsidR="000B2F59">
              <w:rPr>
                <w:noProof/>
                <w:webHidden/>
              </w:rPr>
              <w:fldChar w:fldCharType="end"/>
            </w:r>
          </w:hyperlink>
        </w:p>
        <w:p w14:paraId="3EC0193A" w14:textId="7501BF78"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141563">
              <w:rPr>
                <w:noProof/>
                <w:webHidden/>
              </w:rPr>
              <w:t>12</w:t>
            </w:r>
            <w:r w:rsidR="000B2F59">
              <w:rPr>
                <w:noProof/>
                <w:webHidden/>
              </w:rPr>
              <w:fldChar w:fldCharType="end"/>
            </w:r>
          </w:hyperlink>
        </w:p>
        <w:p w14:paraId="6A9495B8" w14:textId="39527B5F"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141563">
              <w:rPr>
                <w:noProof/>
                <w:webHidden/>
              </w:rPr>
              <w:t>12</w:t>
            </w:r>
            <w:r w:rsidR="000B2F59">
              <w:rPr>
                <w:noProof/>
                <w:webHidden/>
              </w:rPr>
              <w:fldChar w:fldCharType="end"/>
            </w:r>
          </w:hyperlink>
        </w:p>
        <w:p w14:paraId="6140A7E8" w14:textId="2592F630"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141563">
              <w:rPr>
                <w:noProof/>
                <w:webHidden/>
              </w:rPr>
              <w:t>13</w:t>
            </w:r>
            <w:r w:rsidR="000B2F59">
              <w:rPr>
                <w:noProof/>
                <w:webHidden/>
              </w:rPr>
              <w:fldChar w:fldCharType="end"/>
            </w:r>
          </w:hyperlink>
        </w:p>
        <w:p w14:paraId="087656FC" w14:textId="7156A4C0"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141563">
              <w:rPr>
                <w:noProof/>
                <w:webHidden/>
              </w:rPr>
              <w:t>14</w:t>
            </w:r>
            <w:r w:rsidR="000B2F59">
              <w:rPr>
                <w:noProof/>
                <w:webHidden/>
              </w:rPr>
              <w:fldChar w:fldCharType="end"/>
            </w:r>
          </w:hyperlink>
        </w:p>
        <w:p w14:paraId="3EF3C402" w14:textId="7D604FD4"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141563">
              <w:rPr>
                <w:noProof/>
                <w:webHidden/>
              </w:rPr>
              <w:t>14</w:t>
            </w:r>
            <w:r w:rsidR="000B2F59">
              <w:rPr>
                <w:noProof/>
                <w:webHidden/>
              </w:rPr>
              <w:fldChar w:fldCharType="end"/>
            </w:r>
          </w:hyperlink>
        </w:p>
        <w:p w14:paraId="28B35EFD" w14:textId="1B9BED43"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044FD6B9" w14:textId="745839C3"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05ED1D46" w14:textId="3FA53436"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7488C464" w14:textId="46F91970" w:rsidR="000B2F59" w:rsidRDefault="001249C9"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141563">
              <w:rPr>
                <w:noProof/>
                <w:webHidden/>
              </w:rPr>
              <w:t>15</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629FCF4C" w:rsidR="007D1E76" w:rsidRPr="000B2F59" w:rsidRDefault="009C02E8" w:rsidP="003079B1">
      <w:pPr>
        <w:spacing w:line="240" w:lineRule="auto"/>
        <w:jc w:val="both"/>
      </w:pPr>
      <w:r w:rsidRPr="000B2F59">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035A6A4"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lastRenderedPageBreak/>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51023944"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CF1967">
        <w:rPr>
          <w:rFonts w:asciiTheme="minorHAnsi" w:hAnsiTheme="minorHAnsi" w:cstheme="minorHAnsi"/>
        </w:rPr>
        <w:t xml:space="preserve"> 2022</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7777777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Municipio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7B7D8530"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sueldos y salarios</w:t>
      </w:r>
    </w:p>
    <w:p w14:paraId="196B88C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ingresos asimilados a salarios</w:t>
      </w: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lastRenderedPageBreak/>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1249C9"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roofErr w:type="spellStart"/>
      <w:r w:rsidRPr="007A6632">
        <w:rPr>
          <w:rFonts w:asciiTheme="minorHAnsi" w:hAnsiTheme="minorHAnsi" w:cstheme="minorHAnsi"/>
          <w:b/>
        </w:rPr>
        <w:t>Banobras</w:t>
      </w:r>
      <w:proofErr w:type="spellEnd"/>
      <w:r w:rsidRPr="007A6632">
        <w:rPr>
          <w:rFonts w:asciiTheme="minorHAnsi" w:hAnsiTheme="minorHAnsi" w:cstheme="minorHAnsi"/>
          <w:b/>
        </w:rPr>
        <w:t xml:space="preserve"> FID 2212 SIT </w:t>
      </w:r>
      <w:proofErr w:type="spellStart"/>
      <w:r w:rsidRPr="007A6632">
        <w:rPr>
          <w:rFonts w:asciiTheme="minorHAnsi" w:hAnsiTheme="minorHAnsi" w:cstheme="minorHAnsi"/>
          <w:b/>
        </w:rPr>
        <w:t>Optibus</w:t>
      </w:r>
      <w:proofErr w:type="spellEnd"/>
      <w:r w:rsidRPr="007A6632">
        <w:rPr>
          <w:rFonts w:asciiTheme="minorHAnsi" w:hAnsiTheme="minorHAnsi" w:cstheme="minorHAnsi"/>
          <w:b/>
        </w:rPr>
        <w:t>,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55A61042"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Municipio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7CD808CE"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y estrategias tendientes al fortalecimiento de la seguridad pública en el Municipio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EB18330" w14:textId="368658DE" w:rsidR="00C97442" w:rsidRPr="007A6632"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351A770E"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58D675EF"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de las Oficinas de Convenciones, Exposiciones y Visitantes del Estado de </w:t>
      </w:r>
      <w:proofErr w:type="spellStart"/>
      <w:r w:rsidRPr="007A6632">
        <w:rPr>
          <w:rFonts w:asciiTheme="minorHAnsi" w:hAnsiTheme="minorHAnsi" w:cstheme="minorHAnsi"/>
          <w:b/>
        </w:rPr>
        <w:t>Gto</w:t>
      </w:r>
      <w:proofErr w:type="spellEnd"/>
      <w:r w:rsidRPr="007A6632">
        <w:rPr>
          <w:rFonts w:asciiTheme="minorHAnsi" w:hAnsiTheme="minorHAnsi" w:cstheme="minorHAnsi"/>
          <w:b/>
        </w:rPr>
        <w:t xml:space="preserve">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 xml:space="preserve">Tener la titularidad de los derechos sobre el porcentaje de participaciones </w:t>
      </w:r>
      <w:proofErr w:type="spellStart"/>
      <w:r w:rsidRPr="007A6632">
        <w:rPr>
          <w:rFonts w:asciiTheme="minorHAnsi" w:hAnsiTheme="minorHAnsi" w:cstheme="minorHAnsi"/>
        </w:rPr>
        <w:t>fideicomitidas</w:t>
      </w:r>
      <w:proofErr w:type="spellEnd"/>
      <w:r w:rsidRPr="007A6632">
        <w:rPr>
          <w:rFonts w:asciiTheme="minorHAnsi" w:hAnsiTheme="minorHAnsi" w:cstheme="minorHAnsi"/>
        </w:rPr>
        <w:t>.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 xml:space="preserve">Fideicomiso </w:t>
      </w:r>
      <w:proofErr w:type="spellStart"/>
      <w:r w:rsidRPr="007A6632">
        <w:rPr>
          <w:rFonts w:asciiTheme="minorHAnsi" w:hAnsiTheme="minorHAnsi" w:cstheme="minorHAnsi"/>
          <w:b/>
        </w:rPr>
        <w:t>Poliforum</w:t>
      </w:r>
      <w:proofErr w:type="spellEnd"/>
      <w:r w:rsidRPr="007A6632">
        <w:rPr>
          <w:rFonts w:asciiTheme="minorHAnsi" w:hAnsiTheme="minorHAnsi" w:cstheme="minorHAnsi"/>
          <w:b/>
        </w:rPr>
        <w:t xml:space="preserve">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3BB86CC2"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 Información Financiera del Municipio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17A4BF77"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 partir del Ejercicio 2013 el Municipio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06053E40"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Municipio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w:t>
      </w:r>
      <w:proofErr w:type="spellStart"/>
      <w:r w:rsidR="00FC29B6" w:rsidRPr="007A6632">
        <w:rPr>
          <w:rFonts w:asciiTheme="minorHAnsi" w:hAnsiTheme="minorHAnsi" w:cstheme="minorHAnsi"/>
        </w:rPr>
        <w:t>Bussines</w:t>
      </w:r>
      <w:proofErr w:type="spellEnd"/>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5695095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733042CF"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551DD5E6"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70DB2443"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1249C9"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7A6632">
        <w:rPr>
          <w:rFonts w:asciiTheme="minorHAnsi" w:hAnsiTheme="minorHAnsi" w:cstheme="minorHAnsi"/>
        </w:rPr>
        <w:t>Public</w:t>
      </w:r>
      <w:proofErr w:type="spellEnd"/>
      <w:r w:rsidRPr="007A6632">
        <w:rPr>
          <w:rFonts w:asciiTheme="minorHAnsi" w:hAnsiTheme="minorHAnsi" w:cstheme="minorHAnsi"/>
        </w:rPr>
        <w:t xml:space="preserve"> Sector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Standars</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Board</w:t>
      </w:r>
      <w:proofErr w:type="spellEnd"/>
      <w:r w:rsidRPr="007A6632">
        <w:rPr>
          <w:rFonts w:asciiTheme="minorHAnsi" w:hAnsiTheme="minorHAnsi" w:cstheme="minorHAnsi"/>
        </w:rPr>
        <w:t xml:space="preserve"> International </w:t>
      </w:r>
      <w:proofErr w:type="spellStart"/>
      <w:r w:rsidRPr="007A6632">
        <w:rPr>
          <w:rFonts w:asciiTheme="minorHAnsi" w:hAnsiTheme="minorHAnsi" w:cstheme="minorHAnsi"/>
        </w:rPr>
        <w:t>Federation</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Accounting</w:t>
      </w:r>
      <w:proofErr w:type="spellEnd"/>
      <w:r w:rsidRPr="007A6632">
        <w:rPr>
          <w:rFonts w:asciiTheme="minorHAnsi" w:hAnsiTheme="minorHAnsi" w:cstheme="minorHAnsi"/>
        </w:rPr>
        <w:t xml:space="preserve"> </w:t>
      </w:r>
      <w:proofErr w:type="spellStart"/>
      <w:r w:rsidRPr="007A6632">
        <w:rPr>
          <w:rFonts w:asciiTheme="minorHAnsi" w:hAnsiTheme="minorHAnsi" w:cstheme="minorHAnsi"/>
        </w:rPr>
        <w:t>Committe</w:t>
      </w:r>
      <w:proofErr w:type="spellEnd"/>
      <w:r w:rsidRPr="007A6632">
        <w:rPr>
          <w:rFonts w:asciiTheme="minorHAnsi" w:hAnsiTheme="minorHAnsi" w:cstheme="minorHAnsi"/>
        </w:rPr>
        <w:t xml:space="preserv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14FAB37C"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reconocimiento </w:t>
      </w:r>
      <w:r w:rsidR="00367C98" w:rsidRPr="007A6632">
        <w:rPr>
          <w:rFonts w:asciiTheme="minorHAnsi" w:hAnsiTheme="minorHAnsi" w:cstheme="minorHAnsi"/>
        </w:rPr>
        <w:t xml:space="preserv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4EF0A56C"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Municipio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770D9A91"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44A16DC2" w14:textId="18804112" w:rsidR="006673BF" w:rsidRPr="007A6632" w:rsidRDefault="006673BF" w:rsidP="003079B1">
      <w:pPr>
        <w:spacing w:line="240" w:lineRule="auto"/>
        <w:jc w:val="both"/>
        <w:rPr>
          <w:rFonts w:asciiTheme="minorHAnsi" w:hAnsiTheme="minorHAnsi" w:cstheme="minorHAnsi"/>
        </w:rPr>
      </w:pPr>
      <w:r w:rsidRPr="007A6632">
        <w:rPr>
          <w:rFonts w:asciiTheme="minorHAnsi" w:hAnsiTheme="minorHAnsi" w:cstheme="minorHAnsi"/>
        </w:rPr>
        <w:t>Los métodos  de valuación de inventarios son costo de adquisición, costo estándar y detallista.</w:t>
      </w:r>
    </w:p>
    <w:p w14:paraId="12845746" w14:textId="5C0A912A" w:rsidR="00C83ED3" w:rsidRPr="007A6632" w:rsidRDefault="006673BF" w:rsidP="003079B1">
      <w:pPr>
        <w:spacing w:line="240" w:lineRule="auto"/>
        <w:jc w:val="both"/>
        <w:rPr>
          <w:rFonts w:asciiTheme="minorHAnsi" w:hAnsiTheme="minorHAnsi" w:cstheme="minorHAnsi"/>
        </w:rPr>
      </w:pPr>
      <w:r w:rsidRPr="007A6632">
        <w:rPr>
          <w:rFonts w:asciiTheme="minorHAnsi" w:hAnsiTheme="minorHAnsi" w:cstheme="minorHAnsi"/>
        </w:rPr>
        <w:t>Las fórmulas de asignación del costo unitario de los inventarios son  costos identificados, costos promedios y P</w:t>
      </w:r>
      <w:r w:rsidR="008D4D38">
        <w:rPr>
          <w:rFonts w:asciiTheme="minorHAnsi" w:hAnsiTheme="minorHAnsi" w:cstheme="minorHAnsi"/>
        </w:rPr>
        <w:t xml:space="preserve">rimeras </w:t>
      </w:r>
      <w:r w:rsidRPr="007A6632">
        <w:rPr>
          <w:rFonts w:asciiTheme="minorHAnsi" w:hAnsiTheme="minorHAnsi" w:cstheme="minorHAnsi"/>
        </w:rPr>
        <w:t>E</w:t>
      </w:r>
      <w:r w:rsidR="008D4D38">
        <w:rPr>
          <w:rFonts w:asciiTheme="minorHAnsi" w:hAnsiTheme="minorHAnsi" w:cstheme="minorHAnsi"/>
        </w:rPr>
        <w:t xml:space="preserve">ntradas </w:t>
      </w:r>
      <w:r w:rsidRPr="007A6632">
        <w:rPr>
          <w:rFonts w:asciiTheme="minorHAnsi" w:hAnsiTheme="minorHAnsi" w:cstheme="minorHAnsi"/>
        </w:rPr>
        <w:t>P</w:t>
      </w:r>
      <w:r w:rsidR="008D4D38">
        <w:rPr>
          <w:rFonts w:asciiTheme="minorHAnsi" w:hAnsiTheme="minorHAnsi" w:cstheme="minorHAnsi"/>
        </w:rPr>
        <w:t xml:space="preserve">rimeras </w:t>
      </w:r>
      <w:r w:rsidRPr="007A6632">
        <w:rPr>
          <w:rFonts w:asciiTheme="minorHAnsi" w:hAnsiTheme="minorHAnsi" w:cstheme="minorHAnsi"/>
        </w:rPr>
        <w:t>S</w:t>
      </w:r>
      <w:r w:rsidR="008D4D38">
        <w:rPr>
          <w:rFonts w:asciiTheme="minorHAnsi" w:hAnsiTheme="minorHAnsi" w:cstheme="minorHAnsi"/>
        </w:rPr>
        <w:t>alidas (PEPS)</w:t>
      </w:r>
      <w:r w:rsidR="00C91C9D" w:rsidRPr="007A6632">
        <w:rPr>
          <w:rFonts w:asciiTheme="minorHAnsi" w:hAnsiTheme="minorHAnsi" w:cstheme="minorHAnsi"/>
        </w:rPr>
        <w:t>.</w:t>
      </w:r>
    </w:p>
    <w:p w14:paraId="5F53BE69" w14:textId="245C3A52"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2ABCB443" w14:textId="77777777" w:rsidR="00B854B5" w:rsidRPr="007A6632" w:rsidRDefault="00B854B5" w:rsidP="003079B1">
      <w:pPr>
        <w:spacing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14D41163"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E92EF2" w:rsidRPr="007A6632">
        <w:rPr>
          <w:rFonts w:asciiTheme="minorHAnsi" w:hAnsiTheme="minorHAnsi" w:cstheme="minorHAnsi"/>
        </w:rPr>
        <w:t>4</w:t>
      </w:r>
      <w:r w:rsidR="00CF1967">
        <w:rPr>
          <w:rFonts w:asciiTheme="minorHAnsi" w:hAnsiTheme="minorHAnsi" w:cstheme="minorHAnsi"/>
        </w:rPr>
        <w:t>8</w:t>
      </w:r>
      <w:r w:rsidR="00E92EF2" w:rsidRPr="007A6632">
        <w:rPr>
          <w:rFonts w:asciiTheme="minorHAnsi" w:hAnsiTheme="minorHAnsi" w:cstheme="minorHAnsi"/>
        </w:rPr>
        <w:t xml:space="preserve">, </w:t>
      </w:r>
      <w:r w:rsidR="00F16BCA">
        <w:rPr>
          <w:rFonts w:asciiTheme="minorHAnsi" w:hAnsiTheme="minorHAnsi" w:cstheme="minorHAnsi"/>
        </w:rPr>
        <w:t>540</w:t>
      </w:r>
      <w:r w:rsidR="00E92EF2" w:rsidRPr="007A6632">
        <w:rPr>
          <w:rFonts w:asciiTheme="minorHAnsi" w:hAnsiTheme="minorHAnsi" w:cstheme="minorHAnsi"/>
        </w:rPr>
        <w:t>,000</w:t>
      </w:r>
      <w:r w:rsidR="00987863" w:rsidRPr="007A6632">
        <w:rPr>
          <w:rFonts w:asciiTheme="minorHAnsi" w:hAnsiTheme="minorHAnsi" w:cstheme="minorHAnsi"/>
        </w:rPr>
        <w:t xml:space="preserve"> con una vigencia de 3 meses.</w:t>
      </w:r>
    </w:p>
    <w:p w14:paraId="060FF5F9"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A570220" w14:textId="1DF5744E" w:rsidR="00F16BCA" w:rsidRPr="00F16BCA"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Pr="006F08B9">
        <w:rPr>
          <w:rFonts w:asciiTheme="minorHAnsi" w:hAnsiTheme="minorHAnsi" w:cstheme="minorHAnsi"/>
        </w:rPr>
        <w:t xml:space="preserve">documentos  $  </w:t>
      </w:r>
      <w:r w:rsidR="006F08B9" w:rsidRPr="006F08B9">
        <w:rPr>
          <w:rFonts w:asciiTheme="minorHAnsi" w:hAnsiTheme="minorHAnsi" w:cstheme="minorHAnsi"/>
        </w:rPr>
        <w:t>33, 367,559</w:t>
      </w:r>
    </w:p>
    <w:p w14:paraId="2FB28E96"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En el mes  de  julio del año 2012, el Municipio de León invirtió  en  certificados bursátiles emitidos por  la empresa METROFINANCIERA, S.A.P.I. DE C.V.  </w:t>
      </w:r>
    </w:p>
    <w:p w14:paraId="7014E695"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Desde  el ejercicio 2013, la empresa ha venido capitalizando deuda por acciones en virtud  de que no ha generado  flujos de  efectivo suficientes, las pérdidas recurrentes se han tenido que financiar con más deuda proveniente de Sociedad Hipotecaria Federal así como de Banco </w:t>
      </w:r>
      <w:proofErr w:type="spellStart"/>
      <w:r w:rsidRPr="002925C3">
        <w:rPr>
          <w:rFonts w:asciiTheme="minorHAnsi" w:hAnsiTheme="minorHAnsi" w:cstheme="minorHAnsi"/>
        </w:rPr>
        <w:t>Mifel</w:t>
      </w:r>
      <w:proofErr w:type="spellEnd"/>
      <w:r w:rsidRPr="002925C3">
        <w:rPr>
          <w:rFonts w:asciiTheme="minorHAnsi" w:hAnsiTheme="minorHAnsi" w:cstheme="minorHAnsi"/>
        </w:rPr>
        <w:t>;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2CF798DF"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Municipio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08A3934E" w14:textId="4C58CC18" w:rsidR="00F16BCA"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F16BCA" w:rsidRPr="006F08B9">
        <w:rPr>
          <w:rFonts w:asciiTheme="minorHAnsi" w:hAnsiTheme="minorHAnsi" w:cstheme="minorHAnsi"/>
        </w:rPr>
        <w:t xml:space="preserve">   4, 034,541</w:t>
      </w:r>
    </w:p>
    <w:p w14:paraId="5E96AE2F" w14:textId="77777777" w:rsidR="00170543" w:rsidRPr="007A6632" w:rsidRDefault="00170543" w:rsidP="003079B1">
      <w:pPr>
        <w:tabs>
          <w:tab w:val="left" w:leader="underscore" w:pos="9639"/>
        </w:tabs>
        <w:spacing w:after="0" w:line="240" w:lineRule="auto"/>
        <w:jc w:val="both"/>
        <w:rPr>
          <w:rFonts w:asciiTheme="minorHAnsi" w:hAnsiTheme="minorHAnsi" w:cstheme="minorHAnsi"/>
        </w:rPr>
      </w:pPr>
    </w:p>
    <w:p w14:paraId="4D701EC5" w14:textId="652D8EA4" w:rsidR="00174003" w:rsidRPr="007A6632" w:rsidRDefault="0017054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Municipio,  </w:t>
      </w:r>
      <w:r w:rsidRPr="007A6632">
        <w:rPr>
          <w:rFonts w:asciiTheme="minorHAnsi" w:hAnsiTheme="minorHAnsi" w:cstheme="minorHAnsi"/>
        </w:rPr>
        <w:t xml:space="preserve">hasta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6E29C8B6"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08533022" w14:textId="77777777" w:rsidR="00D80247" w:rsidRPr="007A6632" w:rsidRDefault="00D80247" w:rsidP="003079B1">
      <w:pPr>
        <w:tabs>
          <w:tab w:val="left" w:pos="7110"/>
        </w:tabs>
        <w:spacing w:after="0" w:line="240" w:lineRule="auto"/>
        <w:jc w:val="both"/>
        <w:rPr>
          <w:rFonts w:asciiTheme="minorHAnsi" w:hAnsiTheme="minorHAnsi" w:cstheme="minorHAnsi"/>
          <w:u w:val="single"/>
        </w:rPr>
      </w:pPr>
    </w:p>
    <w:p w14:paraId="0B01C586" w14:textId="70838F7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405F5089"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40B743E7"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2DEBDD5A"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Posición extranjera del Municipio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261438EF"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233D32BD"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57A3E2DA"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Debe mostrar la siguiente información:</w:t>
      </w:r>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3E66BE33"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13248788"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40E973FE" w14:textId="5713B070" w:rsidR="000B2F59" w:rsidRDefault="000B2F59" w:rsidP="003079B1">
      <w:pPr>
        <w:tabs>
          <w:tab w:val="left" w:leader="underscore" w:pos="9639"/>
        </w:tabs>
        <w:spacing w:after="0" w:line="240" w:lineRule="auto"/>
        <w:jc w:val="both"/>
        <w:rPr>
          <w:rFonts w:asciiTheme="minorHAnsi" w:hAnsiTheme="minorHAnsi" w:cstheme="minorHAnsi"/>
        </w:rPr>
      </w:pP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9C3E80">
        <w:trP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lastRenderedPageBreak/>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6F0E09A5"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6F08B9">
        <w:rPr>
          <w:rFonts w:asciiTheme="minorHAnsi" w:hAnsiTheme="minorHAnsi" w:cstheme="minorHAnsi"/>
        </w:rPr>
        <w:t>tercer</w:t>
      </w:r>
      <w:r w:rsidR="00D27A8C">
        <w:rPr>
          <w:rFonts w:asciiTheme="minorHAnsi" w:hAnsiTheme="minorHAnsi" w:cstheme="minorHAnsi"/>
        </w:rPr>
        <w:t xml:space="preserve"> trimestre del 2022</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2335C8F3"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 materia de gastos, no se llevó capitalización alguna, en razón de que las erogaciones del municipio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5C5E528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2B02E7A4"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F16BCA">
        <w:rPr>
          <w:rFonts w:asciiTheme="minorHAnsi" w:hAnsiTheme="minorHAnsi" w:cstheme="minorHAnsi"/>
        </w:rPr>
        <w:t>m</w:t>
      </w:r>
      <w:r w:rsidR="006F08B9">
        <w:rPr>
          <w:rFonts w:asciiTheme="minorHAnsi" w:hAnsiTheme="minorHAnsi" w:cstheme="minorHAnsi"/>
        </w:rPr>
        <w:t xml:space="preserve">unicipio de León al 30  de Septiembre </w:t>
      </w:r>
      <w:r w:rsidR="00F16BCA">
        <w:rPr>
          <w:rFonts w:asciiTheme="minorHAnsi" w:hAnsiTheme="minorHAnsi" w:cstheme="minorHAnsi"/>
        </w:rPr>
        <w:t xml:space="preserve">de </w:t>
      </w:r>
      <w:r>
        <w:rPr>
          <w:rFonts w:asciiTheme="minorHAnsi" w:hAnsiTheme="minorHAnsi" w:cstheme="minorHAnsi"/>
        </w:rPr>
        <w:t xml:space="preserve">2022, no ha capitalizado obra en proceso en bienes inmuebles propios durante este periodo. </w:t>
      </w: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4EF5CC3" w14:textId="789FA143"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6F08B9">
        <w:rPr>
          <w:rFonts w:asciiTheme="minorHAnsi" w:hAnsiTheme="minorHAnsi" w:cstheme="minorHAnsi"/>
        </w:rPr>
        <w:t>$218, 573,638</w:t>
      </w:r>
      <w:r w:rsidR="00575718">
        <w:rPr>
          <w:rFonts w:asciiTheme="minorHAnsi" w:hAnsiTheme="minorHAnsi" w:cstheme="minorHAnsi"/>
        </w:rPr>
        <w:t xml:space="preserve">  al 30</w:t>
      </w:r>
      <w:r w:rsidR="006F08B9">
        <w:rPr>
          <w:rFonts w:asciiTheme="minorHAnsi" w:hAnsiTheme="minorHAnsi" w:cstheme="minorHAnsi"/>
        </w:rPr>
        <w:t xml:space="preserve"> de Septiembre</w:t>
      </w:r>
      <w:r w:rsidR="005C13F9">
        <w:rPr>
          <w:rFonts w:asciiTheme="minorHAnsi" w:hAnsiTheme="minorHAnsi" w:cstheme="minorHAnsi"/>
        </w:rPr>
        <w:t xml:space="preserve"> de 2022</w:t>
      </w:r>
      <w:r w:rsidR="00506441">
        <w:rPr>
          <w:rFonts w:asciiTheme="minorHAnsi" w:hAnsiTheme="minorHAnsi" w:cstheme="minorHAnsi"/>
        </w:rPr>
        <w:t xml:space="preserve">; </w:t>
      </w:r>
      <w:r w:rsidR="00BB021C" w:rsidRPr="007A6632">
        <w:rPr>
          <w:rFonts w:asciiTheme="minorHAnsi" w:hAnsiTheme="minorHAnsi" w:cstheme="minorHAnsi"/>
        </w:rPr>
        <w:t xml:space="preserve">Así mismo, se encuentra en proceso de conciliar con la información real   del   estado de avance físico financiero de obra pública del Municipio. </w:t>
      </w:r>
    </w:p>
    <w:p w14:paraId="6F4AB52B" w14:textId="77777777" w:rsidR="00BB021C" w:rsidRPr="007A6632" w:rsidRDefault="00BB021C" w:rsidP="003079B1">
      <w:pPr>
        <w:tabs>
          <w:tab w:val="left" w:leader="underscore" w:pos="9639"/>
        </w:tabs>
        <w:spacing w:after="0" w:line="240" w:lineRule="auto"/>
        <w:jc w:val="both"/>
        <w:rPr>
          <w:rFonts w:asciiTheme="minorHAnsi" w:hAnsiTheme="minorHAnsi" w:cstheme="minorHAnsi"/>
        </w:rPr>
      </w:pPr>
    </w:p>
    <w:p w14:paraId="069A9C4B" w14:textId="1EFA70EB" w:rsidR="00BB021C" w:rsidRPr="007A6632" w:rsidRDefault="00BB021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67DA3387"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77777777"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Municipio tiene un pasivo contingente por ser deudor solidario de una línea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contratada por el Sistema de Agua Potable y Alcantarillado de León (SAPAL) </w:t>
      </w:r>
    </w:p>
    <w:p w14:paraId="1DFC1AEC" w14:textId="6D3A9DD0"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w:t>
      </w:r>
      <w:proofErr w:type="spellStart"/>
      <w:r w:rsidRPr="007A6632">
        <w:rPr>
          <w:rFonts w:asciiTheme="minorHAnsi" w:hAnsiTheme="minorHAnsi" w:cstheme="minorHAnsi"/>
        </w:rPr>
        <w:t>revolvente</w:t>
      </w:r>
      <w:proofErr w:type="spellEnd"/>
      <w:r w:rsidRPr="007A6632">
        <w:rPr>
          <w:rFonts w:asciiTheme="minorHAnsi" w:hAnsiTheme="minorHAnsi" w:cstheme="minorHAnsi"/>
        </w:rPr>
        <w:t xml:space="preserve"> celebrado el 7 de octubre de 2015, con Banco del Bajío. El Municipio garantiza la deuda del SAPAL, la cual representa menos del 1% de los ingresos operativos del Municipio.</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B) Los responsables de cada dependencia asignan a los </w:t>
      </w:r>
      <w:proofErr w:type="spellStart"/>
      <w:r w:rsidRPr="009D79EA">
        <w:rPr>
          <w:rFonts w:asciiTheme="minorHAnsi" w:hAnsiTheme="minorHAnsi" w:cstheme="minorHAnsi"/>
        </w:rPr>
        <w:t>resguardantes</w:t>
      </w:r>
      <w:proofErr w:type="spellEnd"/>
      <w:r w:rsidRPr="009D79EA">
        <w:rPr>
          <w:rFonts w:asciiTheme="minorHAnsi" w:hAnsiTheme="minorHAnsi" w:cstheme="minorHAnsi"/>
        </w:rPr>
        <w:t xml:space="preserve">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46CD7F32"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 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proofErr w:type="gramStart"/>
      <w:r w:rsidRPr="009D79EA">
        <w:rPr>
          <w:rFonts w:asciiTheme="minorHAnsi" w:hAnsiTheme="minorHAnsi" w:cstheme="minorHAnsi"/>
        </w:rPr>
        <w:t>de</w:t>
      </w:r>
      <w:proofErr w:type="gramEnd"/>
      <w:r w:rsidRPr="009D79EA">
        <w:rPr>
          <w:rFonts w:asciiTheme="minorHAnsi" w:hAnsiTheme="minorHAnsi" w:cstheme="minorHAnsi"/>
        </w:rPr>
        <w:t xml:space="preserve"> León.</w:t>
      </w:r>
    </w:p>
    <w:p w14:paraId="34E04F66" w14:textId="230E3137" w:rsidR="007D1E76" w:rsidRDefault="007D1E76" w:rsidP="003079B1">
      <w:pPr>
        <w:tabs>
          <w:tab w:val="left" w:leader="underscore" w:pos="9639"/>
        </w:tabs>
        <w:spacing w:after="0" w:line="240" w:lineRule="auto"/>
        <w:jc w:val="both"/>
        <w:rPr>
          <w:rFonts w:asciiTheme="minorHAnsi" w:hAnsiTheme="minorHAnsi" w:cstheme="minorHAnsi"/>
        </w:rPr>
      </w:pPr>
    </w:p>
    <w:p w14:paraId="232B8F84" w14:textId="77777777" w:rsidR="00032569" w:rsidRPr="007A6632" w:rsidRDefault="00032569" w:rsidP="003079B1">
      <w:pPr>
        <w:tabs>
          <w:tab w:val="left" w:leader="underscore" w:pos="9639"/>
        </w:tabs>
        <w:spacing w:after="0" w:line="240" w:lineRule="auto"/>
        <w:jc w:val="both"/>
        <w:rPr>
          <w:rFonts w:asciiTheme="minorHAnsi" w:hAnsiTheme="minorHAnsi" w:cstheme="minorHAnsi"/>
        </w:rPr>
      </w:pPr>
    </w:p>
    <w:p w14:paraId="1D973366" w14:textId="77777777" w:rsidR="0026064B"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Adicionalmente, se deben incluir las explicaciones de las principales variaciones en el activo, en cuadros comparativos como sigue:</w:t>
      </w:r>
    </w:p>
    <w:p w14:paraId="497D3D6B"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41700C6E" w14:textId="27D422F2" w:rsidR="00D95716" w:rsidRDefault="00D95716" w:rsidP="003079B1">
      <w:pPr>
        <w:tabs>
          <w:tab w:val="left" w:leader="underscore" w:pos="9639"/>
        </w:tabs>
        <w:spacing w:after="0" w:line="240" w:lineRule="auto"/>
        <w:jc w:val="both"/>
      </w:pPr>
      <w:r>
        <w:t>La variación en el activo de las inversiones en valores al 3</w:t>
      </w:r>
      <w:r w:rsidR="00575718">
        <w:t>0</w:t>
      </w:r>
      <w:r>
        <w:t xml:space="preserve"> de</w:t>
      </w:r>
      <w:r w:rsidR="006F08B9">
        <w:t xml:space="preserve"> septiembre</w:t>
      </w:r>
      <w:r w:rsidR="005C13F9">
        <w:t xml:space="preserve"> de 2022</w:t>
      </w:r>
      <w:r>
        <w:t xml:space="preserve"> respe</w:t>
      </w:r>
      <w:r w:rsidR="00B52454">
        <w:t>c</w:t>
      </w:r>
      <w:r w:rsidR="005C13F9">
        <w:t>to al 31 de diciembre 2021</w:t>
      </w:r>
      <w:r>
        <w:t xml:space="preserve">, representa un aumento del </w:t>
      </w:r>
      <w:r w:rsidR="006F08B9">
        <w:t>500</w:t>
      </w:r>
      <w:r>
        <w:t xml:space="preserve">%, derivado principalmente a que los flujos de entrada han sido superiores a los flujos de salida. </w:t>
      </w:r>
    </w:p>
    <w:p w14:paraId="3ADB8B20" w14:textId="77777777" w:rsidR="00D95716" w:rsidRPr="007A6632"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42E7ED9A"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5F23D2D8"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3E2F182"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1E40D423"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94CCD3B"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municipio</w:t>
      </w: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AB0AA3C" w14:textId="0276AD6A" w:rsidR="00C83ED3" w:rsidRDefault="00C83ED3" w:rsidP="003079B1">
      <w:pPr>
        <w:pStyle w:val="Ttulo2"/>
        <w:spacing w:line="240" w:lineRule="auto"/>
        <w:jc w:val="both"/>
        <w:rPr>
          <w:rFonts w:asciiTheme="minorHAnsi" w:hAnsiTheme="minorHAnsi" w:cstheme="minorHAnsi"/>
          <w:b/>
          <w:color w:val="auto"/>
          <w:sz w:val="22"/>
          <w:szCs w:val="22"/>
        </w:rPr>
      </w:pPr>
      <w:bookmarkStart w:id="8" w:name="_Toc95736302"/>
      <w:r w:rsidRPr="007A6632">
        <w:rPr>
          <w:rFonts w:asciiTheme="minorHAnsi" w:hAnsiTheme="minorHAnsi" w:cstheme="minorHAnsi"/>
          <w:b/>
          <w:color w:val="auto"/>
          <w:sz w:val="22"/>
          <w:szCs w:val="22"/>
        </w:rPr>
        <w:t>9. Fideicomisos, Mandatos y Análogos:</w:t>
      </w:r>
      <w:bookmarkEnd w:id="8"/>
    </w:p>
    <w:p w14:paraId="306973D9" w14:textId="77777777" w:rsidR="003079B1" w:rsidRPr="003079B1" w:rsidRDefault="003079B1" w:rsidP="003079B1"/>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w:t>
            </w:r>
            <w:proofErr w:type="spellStart"/>
            <w:r w:rsidRPr="0054073A">
              <w:rPr>
                <w:rFonts w:eastAsia="Times New Roman" w:cs="Calibri"/>
                <w:color w:val="000000"/>
                <w:sz w:val="20"/>
                <w:szCs w:val="20"/>
                <w:lang w:eastAsia="es-MX"/>
              </w:rPr>
              <w:t>Poliforum</w:t>
            </w:r>
            <w:proofErr w:type="spellEnd"/>
            <w:r w:rsidRPr="0054073A">
              <w:rPr>
                <w:rFonts w:eastAsia="Times New Roman" w:cs="Calibri"/>
                <w:color w:val="000000"/>
                <w:sz w:val="20"/>
                <w:szCs w:val="20"/>
                <w:lang w:eastAsia="es-MX"/>
              </w:rPr>
              <w:t xml:space="preserve">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2653B6">
        <w:trPr>
          <w:trHeight w:val="461"/>
        </w:trPr>
        <w:tc>
          <w:tcPr>
            <w:tcW w:w="3128" w:type="dxa"/>
            <w:shd w:val="clear" w:color="auto" w:fill="D9D9D9" w:themeFill="background1" w:themeFillShade="D9"/>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D9D9D9" w:themeFill="background1" w:themeFillShade="D9"/>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D9D9D9" w:themeFill="background1" w:themeFillShade="D9"/>
            <w:noWrap/>
            <w:vAlign w:val="bottom"/>
          </w:tcPr>
          <w:p w14:paraId="252A58E3" w14:textId="7F324489"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063173">
              <w:rPr>
                <w:rFonts w:eastAsia="Times New Roman" w:cs="Calibri"/>
                <w:b/>
                <w:bCs/>
                <w:color w:val="000000"/>
                <w:sz w:val="20"/>
                <w:szCs w:val="20"/>
                <w:lang w:eastAsia="es-MX"/>
              </w:rPr>
              <w:t>17</w:t>
            </w:r>
            <w:r w:rsidRPr="0054073A">
              <w:rPr>
                <w:rFonts w:eastAsia="Times New Roman" w:cs="Calibri"/>
                <w:b/>
                <w:bCs/>
                <w:color w:val="000000"/>
                <w:sz w:val="20"/>
                <w:szCs w:val="20"/>
                <w:lang w:eastAsia="es-MX"/>
              </w:rPr>
              <w:t>,</w:t>
            </w:r>
            <w:r w:rsidR="00063173">
              <w:rPr>
                <w:rFonts w:eastAsia="Times New Roman" w:cs="Calibri"/>
                <w:b/>
                <w:bCs/>
                <w:color w:val="000000"/>
                <w:sz w:val="20"/>
                <w:szCs w:val="20"/>
                <w:lang w:eastAsia="es-MX"/>
              </w:rPr>
              <w:t>761</w:t>
            </w:r>
            <w:r w:rsidRPr="0054073A">
              <w:rPr>
                <w:rFonts w:eastAsia="Times New Roman" w:cs="Calibri"/>
                <w:b/>
                <w:bCs/>
                <w:color w:val="000000"/>
                <w:sz w:val="20"/>
                <w:szCs w:val="20"/>
                <w:lang w:eastAsia="es-MX"/>
              </w:rPr>
              <w:t>,</w:t>
            </w:r>
            <w:r w:rsidR="00063173">
              <w:rPr>
                <w:rFonts w:eastAsia="Times New Roman" w:cs="Calibri"/>
                <w:b/>
                <w:bCs/>
                <w:color w:val="000000"/>
                <w:sz w:val="20"/>
                <w:szCs w:val="20"/>
                <w:lang w:eastAsia="es-MX"/>
              </w:rPr>
              <w:t>596</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42E99201" w:rsidR="00063173" w:rsidRPr="0054073A" w:rsidRDefault="00063173"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$2,214,130</w:t>
            </w:r>
          </w:p>
        </w:tc>
      </w:tr>
      <w:tr w:rsidR="002653B6" w:rsidRPr="0054073A" w14:paraId="254E2274" w14:textId="77777777" w:rsidTr="00063173">
        <w:trPr>
          <w:trHeight w:val="461"/>
        </w:trPr>
        <w:tc>
          <w:tcPr>
            <w:tcW w:w="3128" w:type="dxa"/>
            <w:shd w:val="clear" w:color="auto" w:fill="D0CECE" w:themeFill="background2" w:themeFillShade="E6"/>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D0CECE" w:themeFill="background2" w:themeFillShade="E6"/>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D0CECE" w:themeFill="background2" w:themeFillShade="E6"/>
            <w:noWrap/>
            <w:vAlign w:val="bottom"/>
          </w:tcPr>
          <w:p w14:paraId="3E1ACD98" w14:textId="32830B4D"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063173">
              <w:rPr>
                <w:rFonts w:eastAsia="Times New Roman" w:cs="Calibri"/>
                <w:b/>
                <w:bCs/>
                <w:color w:val="000000"/>
                <w:sz w:val="20"/>
                <w:szCs w:val="20"/>
                <w:lang w:eastAsia="es-MX"/>
              </w:rPr>
              <w:t>1,752</w:t>
            </w:r>
            <w:r w:rsidRPr="0054073A">
              <w:rPr>
                <w:rFonts w:eastAsia="Times New Roman" w:cs="Calibri"/>
                <w:b/>
                <w:bCs/>
                <w:color w:val="000000"/>
                <w:sz w:val="20"/>
                <w:szCs w:val="20"/>
                <w:lang w:eastAsia="es-MX"/>
              </w:rPr>
              <w:t>,</w:t>
            </w:r>
            <w:r w:rsidR="00063173">
              <w:rPr>
                <w:rFonts w:eastAsia="Times New Roman" w:cs="Calibri"/>
                <w:b/>
                <w:bCs/>
                <w:color w:val="000000"/>
                <w:sz w:val="20"/>
                <w:szCs w:val="20"/>
                <w:lang w:eastAsia="es-MX"/>
              </w:rPr>
              <w:t>965</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4B259B8A" w14:textId="77777777" w:rsidTr="002653B6">
        <w:trPr>
          <w:trHeight w:val="461"/>
        </w:trPr>
        <w:tc>
          <w:tcPr>
            <w:tcW w:w="3128" w:type="dxa"/>
            <w:shd w:val="clear" w:color="auto" w:fill="D9D9D9" w:themeFill="background1" w:themeFillShade="D9"/>
            <w:noWrap/>
            <w:vAlign w:val="bottom"/>
          </w:tcPr>
          <w:p w14:paraId="1A6FBBF1" w14:textId="708F0549"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Movilidad</w:t>
            </w:r>
          </w:p>
        </w:tc>
        <w:tc>
          <w:tcPr>
            <w:tcW w:w="4578" w:type="dxa"/>
            <w:shd w:val="clear" w:color="auto" w:fill="D9D9D9" w:themeFill="background1" w:themeFillShade="D9"/>
            <w:vAlign w:val="bottom"/>
          </w:tcPr>
          <w:p w14:paraId="4B89D9F4" w14:textId="39CAC35F" w:rsidR="002653B6" w:rsidRPr="002653B6" w:rsidRDefault="002653B6" w:rsidP="003079B1">
            <w:pPr>
              <w:spacing w:after="0" w:line="240" w:lineRule="auto"/>
              <w:jc w:val="center"/>
              <w:rPr>
                <w:rFonts w:eastAsia="Times New Roman" w:cs="Calibri"/>
                <w:color w:val="000000"/>
                <w:sz w:val="20"/>
                <w:szCs w:val="20"/>
                <w:lang w:eastAsia="es-MX"/>
              </w:rPr>
            </w:pPr>
            <w:proofErr w:type="spellStart"/>
            <w:r w:rsidRPr="002653B6">
              <w:rPr>
                <w:rFonts w:eastAsia="Times New Roman" w:cs="Calibri"/>
                <w:color w:val="000000"/>
                <w:sz w:val="20"/>
                <w:szCs w:val="20"/>
                <w:lang w:eastAsia="es-MX"/>
              </w:rPr>
              <w:t>Banobras</w:t>
            </w:r>
            <w:proofErr w:type="spellEnd"/>
            <w:r w:rsidRPr="002653B6">
              <w:rPr>
                <w:rFonts w:eastAsia="Times New Roman" w:cs="Calibri"/>
                <w:color w:val="000000"/>
                <w:sz w:val="20"/>
                <w:szCs w:val="20"/>
                <w:lang w:eastAsia="es-MX"/>
              </w:rPr>
              <w:t xml:space="preserve"> FID 2212 SIT </w:t>
            </w:r>
            <w:proofErr w:type="spellStart"/>
            <w:r w:rsidRPr="002653B6">
              <w:rPr>
                <w:rFonts w:eastAsia="Times New Roman" w:cs="Calibri"/>
                <w:color w:val="000000"/>
                <w:sz w:val="20"/>
                <w:szCs w:val="20"/>
                <w:lang w:eastAsia="es-MX"/>
              </w:rPr>
              <w:t>Optibus</w:t>
            </w:r>
            <w:proofErr w:type="spellEnd"/>
            <w:r w:rsidRPr="002653B6">
              <w:rPr>
                <w:rFonts w:eastAsia="Times New Roman" w:cs="Calibri"/>
                <w:color w:val="000000"/>
                <w:sz w:val="20"/>
                <w:szCs w:val="20"/>
                <w:lang w:eastAsia="es-MX"/>
              </w:rPr>
              <w:t>, 3era y 4ta Etapa” (FID 2212 SIT)</w:t>
            </w:r>
          </w:p>
        </w:tc>
        <w:tc>
          <w:tcPr>
            <w:tcW w:w="1257" w:type="dxa"/>
            <w:shd w:val="clear" w:color="auto" w:fill="D9D9D9" w:themeFill="background1" w:themeFillShade="D9"/>
            <w:noWrap/>
            <w:vAlign w:val="bottom"/>
            <w:hideMark/>
          </w:tcPr>
          <w:p w14:paraId="027B3179" w14:textId="07233599" w:rsidR="002653B6" w:rsidRPr="002653B6" w:rsidRDefault="002653B6" w:rsidP="003079B1">
            <w:pPr>
              <w:spacing w:after="0" w:line="240" w:lineRule="auto"/>
              <w:jc w:val="right"/>
              <w:rPr>
                <w:rFonts w:eastAsia="Times New Roman" w:cs="Calibri"/>
                <w:color w:val="000000"/>
                <w:sz w:val="20"/>
                <w:szCs w:val="20"/>
                <w:lang w:eastAsia="es-MX"/>
              </w:rPr>
            </w:pPr>
            <w:r w:rsidRPr="002653B6">
              <w:rPr>
                <w:rFonts w:eastAsia="Times New Roman" w:cs="Calibri"/>
                <w:b/>
                <w:bCs/>
                <w:color w:val="000000"/>
                <w:sz w:val="20"/>
                <w:szCs w:val="20"/>
                <w:lang w:eastAsia="es-MX"/>
              </w:rPr>
              <w:t>$0</w:t>
            </w:r>
          </w:p>
        </w:tc>
      </w:tr>
      <w:tr w:rsidR="002653B6" w:rsidRPr="002653B6" w14:paraId="2F58FB8C" w14:textId="77777777" w:rsidTr="002653B6">
        <w:trPr>
          <w:trHeight w:val="461"/>
        </w:trPr>
        <w:tc>
          <w:tcPr>
            <w:tcW w:w="3128" w:type="dxa"/>
            <w:shd w:val="clear" w:color="auto" w:fill="auto"/>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auto"/>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auto"/>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9" w:name="_Toc95736303"/>
      <w:r w:rsidRPr="007A6632">
        <w:rPr>
          <w:rFonts w:asciiTheme="minorHAnsi" w:hAnsiTheme="minorHAnsi" w:cstheme="minorHAnsi"/>
          <w:b/>
        </w:rPr>
        <w:t>10. Reporte de la Recaudación:</w:t>
      </w:r>
      <w:bookmarkEnd w:id="9"/>
      <w:r w:rsidR="00802576">
        <w:rPr>
          <w:rFonts w:asciiTheme="minorHAnsi" w:hAnsiTheme="minorHAnsi" w:cstheme="minorHAnsi"/>
          <w:b/>
        </w:rPr>
        <w:t xml:space="preserve">   </w:t>
      </w:r>
    </w:p>
    <w:p w14:paraId="3E24AC78" w14:textId="77777777" w:rsidR="00C866CD" w:rsidRPr="00342C8E" w:rsidRDefault="00C866CD"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123D08">
        <w:trPr>
          <w:trHeight w:val="201"/>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2989926E" w:rsidR="007764F6" w:rsidRPr="007764F6"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1</w:t>
            </w:r>
            <w:r>
              <w:rPr>
                <w:rFonts w:asciiTheme="minorHAnsi" w:hAnsiTheme="minorHAnsi" w:cstheme="minorHAnsi"/>
                <w:sz w:val="20"/>
                <w:szCs w:val="20"/>
              </w:rPr>
              <w:t>,</w:t>
            </w:r>
            <w:r w:rsidRPr="00141563">
              <w:rPr>
                <w:rFonts w:asciiTheme="minorHAnsi" w:hAnsiTheme="minorHAnsi" w:cstheme="minorHAnsi"/>
                <w:sz w:val="20"/>
                <w:szCs w:val="20"/>
              </w:rPr>
              <w:t>442</w:t>
            </w:r>
            <w:r>
              <w:rPr>
                <w:rFonts w:asciiTheme="minorHAnsi" w:hAnsiTheme="minorHAnsi" w:cstheme="minorHAnsi"/>
                <w:sz w:val="20"/>
                <w:szCs w:val="20"/>
              </w:rPr>
              <w:t>,</w:t>
            </w:r>
            <w:r w:rsidRPr="00141563">
              <w:rPr>
                <w:rFonts w:asciiTheme="minorHAnsi" w:hAnsiTheme="minorHAnsi" w:cstheme="minorHAnsi"/>
                <w:sz w:val="20"/>
                <w:szCs w:val="20"/>
              </w:rPr>
              <w:t>487</w:t>
            </w:r>
            <w:r>
              <w:rPr>
                <w:rFonts w:asciiTheme="minorHAnsi" w:hAnsiTheme="minorHAnsi" w:cstheme="minorHAnsi"/>
                <w:sz w:val="20"/>
                <w:szCs w:val="20"/>
              </w:rPr>
              <w:t>,</w:t>
            </w:r>
            <w:r w:rsidRPr="00141563">
              <w:rPr>
                <w:rFonts w:asciiTheme="minorHAnsi" w:hAnsiTheme="minorHAnsi" w:cstheme="minorHAnsi"/>
                <w:sz w:val="20"/>
                <w:szCs w:val="20"/>
              </w:rPr>
              <w:t>288.46</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3739E55A" w:rsidR="007764F6" w:rsidRPr="007764F6"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11</w:t>
            </w:r>
            <w:r>
              <w:rPr>
                <w:rFonts w:asciiTheme="minorHAnsi" w:hAnsiTheme="minorHAnsi" w:cstheme="minorHAnsi"/>
                <w:sz w:val="20"/>
                <w:szCs w:val="20"/>
              </w:rPr>
              <w:t>,</w:t>
            </w:r>
            <w:r w:rsidRPr="00141563">
              <w:rPr>
                <w:rFonts w:asciiTheme="minorHAnsi" w:hAnsiTheme="minorHAnsi" w:cstheme="minorHAnsi"/>
                <w:sz w:val="20"/>
                <w:szCs w:val="20"/>
              </w:rPr>
              <w:t>155.92</w:t>
            </w:r>
          </w:p>
        </w:tc>
      </w:tr>
      <w:tr w:rsidR="00537DD1" w:rsidRPr="007764F6" w14:paraId="3FA88C45" w14:textId="77777777" w:rsidTr="00123D08">
        <w:trPr>
          <w:trHeight w:val="201"/>
        </w:trPr>
        <w:tc>
          <w:tcPr>
            <w:tcW w:w="6096" w:type="dxa"/>
          </w:tcPr>
          <w:p w14:paraId="5511B1DE" w14:textId="4019FC1F"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5DC1FB60" w:rsidR="00537DD1" w:rsidRPr="007764F6" w:rsidRDefault="00141563" w:rsidP="000E7960">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323</w:t>
            </w:r>
            <w:r>
              <w:rPr>
                <w:rFonts w:asciiTheme="minorHAnsi" w:hAnsiTheme="minorHAnsi" w:cstheme="minorHAnsi"/>
                <w:sz w:val="20"/>
                <w:szCs w:val="20"/>
              </w:rPr>
              <w:t>,</w:t>
            </w:r>
            <w:r w:rsidRPr="00141563">
              <w:rPr>
                <w:rFonts w:asciiTheme="minorHAnsi" w:hAnsiTheme="minorHAnsi" w:cstheme="minorHAnsi"/>
                <w:sz w:val="20"/>
                <w:szCs w:val="20"/>
              </w:rPr>
              <w:t>094</w:t>
            </w:r>
            <w:r>
              <w:rPr>
                <w:rFonts w:asciiTheme="minorHAnsi" w:hAnsiTheme="minorHAnsi" w:cstheme="minorHAnsi"/>
                <w:sz w:val="20"/>
                <w:szCs w:val="20"/>
              </w:rPr>
              <w:t>,</w:t>
            </w:r>
            <w:r w:rsidRPr="00141563">
              <w:rPr>
                <w:rFonts w:asciiTheme="minorHAnsi" w:hAnsiTheme="minorHAnsi" w:cstheme="minorHAnsi"/>
                <w:sz w:val="20"/>
                <w:szCs w:val="20"/>
              </w:rPr>
              <w:t>907.02</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18894F04" w:rsidR="00342C8E" w:rsidRPr="007764F6"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111</w:t>
            </w:r>
            <w:r>
              <w:rPr>
                <w:rFonts w:asciiTheme="minorHAnsi" w:hAnsiTheme="minorHAnsi" w:cstheme="minorHAnsi"/>
                <w:sz w:val="20"/>
                <w:szCs w:val="20"/>
              </w:rPr>
              <w:t>,</w:t>
            </w:r>
            <w:r w:rsidRPr="00141563">
              <w:rPr>
                <w:rFonts w:asciiTheme="minorHAnsi" w:hAnsiTheme="minorHAnsi" w:cstheme="minorHAnsi"/>
                <w:sz w:val="20"/>
                <w:szCs w:val="20"/>
              </w:rPr>
              <w:t>272</w:t>
            </w:r>
            <w:r>
              <w:rPr>
                <w:rFonts w:asciiTheme="minorHAnsi" w:hAnsiTheme="minorHAnsi" w:cstheme="minorHAnsi"/>
                <w:sz w:val="20"/>
                <w:szCs w:val="20"/>
              </w:rPr>
              <w:t>,</w:t>
            </w:r>
            <w:r w:rsidRPr="00141563">
              <w:rPr>
                <w:rFonts w:asciiTheme="minorHAnsi" w:hAnsiTheme="minorHAnsi" w:cstheme="minorHAnsi"/>
                <w:sz w:val="20"/>
                <w:szCs w:val="20"/>
              </w:rPr>
              <w:t>353.9</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7525BE3F" w:rsidR="007764F6" w:rsidRPr="007764F6"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207</w:t>
            </w:r>
            <w:r>
              <w:rPr>
                <w:rFonts w:asciiTheme="minorHAnsi" w:hAnsiTheme="minorHAnsi" w:cstheme="minorHAnsi"/>
                <w:sz w:val="20"/>
                <w:szCs w:val="20"/>
              </w:rPr>
              <w:t>,</w:t>
            </w:r>
            <w:r w:rsidRPr="00141563">
              <w:rPr>
                <w:rFonts w:asciiTheme="minorHAnsi" w:hAnsiTheme="minorHAnsi" w:cstheme="minorHAnsi"/>
                <w:sz w:val="20"/>
                <w:szCs w:val="20"/>
              </w:rPr>
              <w:t>224</w:t>
            </w:r>
            <w:r>
              <w:rPr>
                <w:rFonts w:asciiTheme="minorHAnsi" w:hAnsiTheme="minorHAnsi" w:cstheme="minorHAnsi"/>
                <w:sz w:val="20"/>
                <w:szCs w:val="20"/>
              </w:rPr>
              <w:t>,</w:t>
            </w:r>
            <w:r w:rsidRPr="00141563">
              <w:rPr>
                <w:rFonts w:asciiTheme="minorHAnsi" w:hAnsiTheme="minorHAnsi" w:cstheme="minorHAnsi"/>
                <w:sz w:val="20"/>
                <w:szCs w:val="20"/>
              </w:rPr>
              <w:t>268.6</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2DB3A17E" w:rsidR="00342C8E"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869</w:t>
            </w:r>
            <w:r>
              <w:rPr>
                <w:rFonts w:asciiTheme="minorHAnsi" w:hAnsiTheme="minorHAnsi" w:cstheme="minorHAnsi"/>
                <w:sz w:val="20"/>
                <w:szCs w:val="20"/>
              </w:rPr>
              <w:t>,</w:t>
            </w:r>
            <w:r w:rsidRPr="00141563">
              <w:rPr>
                <w:rFonts w:asciiTheme="minorHAnsi" w:hAnsiTheme="minorHAnsi" w:cstheme="minorHAnsi"/>
                <w:sz w:val="20"/>
                <w:szCs w:val="20"/>
              </w:rPr>
              <w:t>803.08</w:t>
            </w:r>
          </w:p>
        </w:tc>
      </w:tr>
      <w:tr w:rsidR="007764F6" w:rsidRPr="007764F6" w14:paraId="62D98397" w14:textId="77777777" w:rsidTr="00123D08">
        <w:trPr>
          <w:trHeight w:val="689"/>
        </w:trPr>
        <w:tc>
          <w:tcPr>
            <w:tcW w:w="6096" w:type="dxa"/>
            <w:tcBorders>
              <w:bottom w:val="single" w:sz="4" w:space="0" w:color="auto"/>
            </w:tcBorders>
          </w:tcPr>
          <w:p w14:paraId="45885E49" w14:textId="77777777"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08BF2176" w:rsidR="000E7960" w:rsidRPr="007764F6" w:rsidRDefault="00141563" w:rsidP="003079B1">
            <w:pPr>
              <w:tabs>
                <w:tab w:val="left" w:leader="underscore" w:pos="9639"/>
              </w:tabs>
              <w:spacing w:after="0" w:line="240" w:lineRule="auto"/>
              <w:jc w:val="right"/>
              <w:rPr>
                <w:rFonts w:asciiTheme="minorHAnsi" w:hAnsiTheme="minorHAnsi" w:cstheme="minorHAnsi"/>
                <w:sz w:val="20"/>
                <w:szCs w:val="20"/>
              </w:rPr>
            </w:pPr>
            <w:r w:rsidRPr="00141563">
              <w:rPr>
                <w:rFonts w:asciiTheme="minorHAnsi" w:hAnsiTheme="minorHAnsi" w:cstheme="minorHAnsi"/>
                <w:sz w:val="20"/>
                <w:szCs w:val="20"/>
              </w:rPr>
              <w:t>4</w:t>
            </w:r>
            <w:r>
              <w:rPr>
                <w:rFonts w:asciiTheme="minorHAnsi" w:hAnsiTheme="minorHAnsi" w:cstheme="minorHAnsi"/>
                <w:sz w:val="20"/>
                <w:szCs w:val="20"/>
              </w:rPr>
              <w:t>,</w:t>
            </w:r>
            <w:r w:rsidRPr="00141563">
              <w:rPr>
                <w:rFonts w:asciiTheme="minorHAnsi" w:hAnsiTheme="minorHAnsi" w:cstheme="minorHAnsi"/>
                <w:sz w:val="20"/>
                <w:szCs w:val="20"/>
              </w:rPr>
              <w:t>061</w:t>
            </w:r>
            <w:r>
              <w:rPr>
                <w:rFonts w:asciiTheme="minorHAnsi" w:hAnsiTheme="minorHAnsi" w:cstheme="minorHAnsi"/>
                <w:sz w:val="20"/>
                <w:szCs w:val="20"/>
              </w:rPr>
              <w:t>,</w:t>
            </w:r>
            <w:r w:rsidRPr="00141563">
              <w:rPr>
                <w:rFonts w:asciiTheme="minorHAnsi" w:hAnsiTheme="minorHAnsi" w:cstheme="minorHAnsi"/>
                <w:sz w:val="20"/>
                <w:szCs w:val="20"/>
              </w:rPr>
              <w:t>276</w:t>
            </w:r>
            <w:r>
              <w:rPr>
                <w:rFonts w:asciiTheme="minorHAnsi" w:hAnsiTheme="minorHAnsi" w:cstheme="minorHAnsi"/>
                <w:sz w:val="20"/>
                <w:szCs w:val="20"/>
              </w:rPr>
              <w:t>,</w:t>
            </w:r>
            <w:r w:rsidRPr="00141563">
              <w:rPr>
                <w:rFonts w:asciiTheme="minorHAnsi" w:hAnsiTheme="minorHAnsi" w:cstheme="minorHAnsi"/>
                <w:sz w:val="20"/>
                <w:szCs w:val="20"/>
              </w:rPr>
              <w:t>509.56</w:t>
            </w:r>
          </w:p>
        </w:tc>
      </w:tr>
      <w:tr w:rsidR="00284458" w:rsidRPr="007764F6" w14:paraId="53635935" w14:textId="77777777" w:rsidTr="00652342">
        <w:trPr>
          <w:trHeight w:val="201"/>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3C3E8680" w:rsidR="00284458" w:rsidRPr="007764F6" w:rsidRDefault="00141563" w:rsidP="003079B1">
            <w:pPr>
              <w:tabs>
                <w:tab w:val="left" w:leader="underscore" w:pos="9639"/>
              </w:tabs>
              <w:spacing w:after="0" w:line="240" w:lineRule="auto"/>
              <w:jc w:val="right"/>
              <w:rPr>
                <w:rFonts w:asciiTheme="minorHAnsi" w:hAnsiTheme="minorHAnsi" w:cstheme="minorHAnsi"/>
                <w:b/>
                <w:sz w:val="20"/>
                <w:szCs w:val="20"/>
              </w:rPr>
            </w:pPr>
            <w:r w:rsidRPr="00141563">
              <w:rPr>
                <w:rFonts w:asciiTheme="minorHAnsi" w:hAnsiTheme="minorHAnsi" w:cstheme="minorHAnsi"/>
                <w:b/>
                <w:sz w:val="20"/>
                <w:szCs w:val="20"/>
              </w:rPr>
              <w:t>6</w:t>
            </w:r>
            <w:r>
              <w:rPr>
                <w:rFonts w:asciiTheme="minorHAnsi" w:hAnsiTheme="minorHAnsi" w:cstheme="minorHAnsi"/>
                <w:b/>
                <w:sz w:val="20"/>
                <w:szCs w:val="20"/>
              </w:rPr>
              <w:t>,</w:t>
            </w:r>
            <w:r w:rsidRPr="00141563">
              <w:rPr>
                <w:rFonts w:asciiTheme="minorHAnsi" w:hAnsiTheme="minorHAnsi" w:cstheme="minorHAnsi"/>
                <w:b/>
                <w:sz w:val="20"/>
                <w:szCs w:val="20"/>
              </w:rPr>
              <w:t>146</w:t>
            </w:r>
            <w:r>
              <w:rPr>
                <w:rFonts w:asciiTheme="minorHAnsi" w:hAnsiTheme="minorHAnsi" w:cstheme="minorHAnsi"/>
                <w:b/>
                <w:sz w:val="20"/>
                <w:szCs w:val="20"/>
              </w:rPr>
              <w:t>,</w:t>
            </w:r>
            <w:r w:rsidRPr="00141563">
              <w:rPr>
                <w:rFonts w:asciiTheme="minorHAnsi" w:hAnsiTheme="minorHAnsi" w:cstheme="minorHAnsi"/>
                <w:b/>
                <w:sz w:val="20"/>
                <w:szCs w:val="20"/>
              </w:rPr>
              <w:t>236</w:t>
            </w:r>
            <w:r>
              <w:rPr>
                <w:rFonts w:asciiTheme="minorHAnsi" w:hAnsiTheme="minorHAnsi" w:cstheme="minorHAnsi"/>
                <w:b/>
                <w:sz w:val="20"/>
                <w:szCs w:val="20"/>
              </w:rPr>
              <w:t>,</w:t>
            </w:r>
            <w:r w:rsidRPr="00141563">
              <w:rPr>
                <w:rFonts w:asciiTheme="minorHAnsi" w:hAnsiTheme="minorHAnsi" w:cstheme="minorHAnsi"/>
                <w:b/>
                <w:sz w:val="20"/>
                <w:szCs w:val="20"/>
              </w:rPr>
              <w:t>286.54</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bookmarkStart w:id="10" w:name="_GoBack"/>
      <w:bookmarkEnd w:id="10"/>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381712AC" w14:textId="30699BDB" w:rsidR="00C0370C" w:rsidRDefault="00C0370C" w:rsidP="003079B1">
      <w:pPr>
        <w:spacing w:line="240" w:lineRule="auto"/>
      </w:pPr>
    </w:p>
    <w:p w14:paraId="60F1AF55" w14:textId="635DA174" w:rsidR="00974471" w:rsidRPr="00974471" w:rsidRDefault="00C0370C" w:rsidP="00067955">
      <w:pPr>
        <w:spacing w:line="240" w:lineRule="auto"/>
      </w:pPr>
      <w:r w:rsidRPr="00C0370C">
        <w:rPr>
          <w:noProof/>
          <w:lang w:eastAsia="es-MX"/>
        </w:rPr>
        <w:lastRenderedPageBreak/>
        <w:drawing>
          <wp:inline distT="0" distB="0" distL="0" distR="0" wp14:anchorId="6598FFEC" wp14:editId="48342354">
            <wp:extent cx="6400800" cy="4296858"/>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4296858"/>
                    </a:xfrm>
                    <a:prstGeom prst="rect">
                      <a:avLst/>
                    </a:prstGeom>
                    <a:noFill/>
                    <a:ln>
                      <a:noFill/>
                    </a:ln>
                  </pic:spPr>
                </pic:pic>
              </a:graphicData>
            </a:graphic>
          </wp:inline>
        </w:drawing>
      </w:r>
      <w:bookmarkStart w:id="11" w:name="_Toc95736304"/>
    </w:p>
    <w:p w14:paraId="0BDD0B79" w14:textId="77777777" w:rsidR="00974471" w:rsidRDefault="00974471" w:rsidP="00974471">
      <w:pPr>
        <w:pStyle w:val="Ttulo2"/>
        <w:spacing w:line="240" w:lineRule="auto"/>
        <w:jc w:val="both"/>
        <w:rPr>
          <w:rFonts w:asciiTheme="minorHAnsi" w:eastAsia="Calibri" w:hAnsiTheme="minorHAnsi" w:cstheme="minorHAnsi"/>
          <w:b/>
          <w:color w:val="000000" w:themeColor="text1"/>
          <w:sz w:val="22"/>
          <w:szCs w:val="22"/>
        </w:rPr>
      </w:pP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7A6632">
        <w:rPr>
          <w:rFonts w:asciiTheme="minorHAnsi" w:hAnsiTheme="minorHAnsi" w:cstheme="minorHAnsi"/>
        </w:rPr>
        <w:t>Se muestra el indicador de deuda respecto al PIB así como el de la deuda respecto a los ingresos propios</w:t>
      </w:r>
      <w:r w:rsidRPr="007A6632">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1DF29C2F" w:rsidR="00331CE1" w:rsidRDefault="003D007C" w:rsidP="003D007C">
      <w:pPr>
        <w:tabs>
          <w:tab w:val="left" w:leader="underscore" w:pos="9639"/>
        </w:tabs>
        <w:spacing w:after="0" w:line="240" w:lineRule="auto"/>
        <w:jc w:val="center"/>
        <w:rPr>
          <w:rFonts w:asciiTheme="minorHAnsi" w:hAnsiTheme="minorHAnsi" w:cstheme="minorHAnsi"/>
          <w:color w:val="000000" w:themeColor="text1"/>
        </w:rPr>
      </w:pPr>
      <w:r>
        <w:rPr>
          <w:noProof/>
          <w:lang w:eastAsia="es-MX"/>
        </w:rPr>
        <w:drawing>
          <wp:inline distT="0" distB="0" distL="0" distR="0" wp14:anchorId="7F5E867F" wp14:editId="685AA4A7">
            <wp:extent cx="5612130" cy="164973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649730"/>
                    </a:xfrm>
                    <a:prstGeom prst="rect">
                      <a:avLst/>
                    </a:prstGeom>
                  </pic:spPr>
                </pic:pic>
              </a:graphicData>
            </a:graphic>
          </wp:inline>
        </w:drawing>
      </w:r>
    </w:p>
    <w:p w14:paraId="7AF88721" w14:textId="0B48DD3E" w:rsidR="0062242A" w:rsidRPr="0062242A" w:rsidRDefault="0062242A" w:rsidP="00974471">
      <w:pPr>
        <w:tabs>
          <w:tab w:val="left" w:leader="underscore" w:pos="9639"/>
        </w:tabs>
        <w:spacing w:after="0" w:line="240" w:lineRule="auto"/>
        <w:jc w:val="center"/>
        <w:rPr>
          <w:rFonts w:ascii="Arial Black" w:hAnsi="Arial Black" w:cs="Calibri"/>
          <w:color w:val="000000" w:themeColor="text1"/>
          <w:highlight w:val="yellow"/>
        </w:rPr>
      </w:pP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3E5191F3" w:rsidR="00032569" w:rsidRPr="000B2F59" w:rsidRDefault="003D007C" w:rsidP="003079B1">
      <w:pPr>
        <w:spacing w:line="240" w:lineRule="auto"/>
      </w:pPr>
      <w:r>
        <w:rPr>
          <w:noProof/>
          <w:lang w:eastAsia="es-MX"/>
        </w:rPr>
        <w:drawing>
          <wp:anchor distT="0" distB="0" distL="114300" distR="114300" simplePos="0" relativeHeight="251662336" behindDoc="0" locked="0" layoutInCell="1" allowOverlap="1" wp14:anchorId="1287E48E" wp14:editId="74ACF2C7">
            <wp:simplePos x="0" y="0"/>
            <wp:positionH relativeFrom="margin">
              <wp:align>left</wp:align>
            </wp:positionH>
            <wp:positionV relativeFrom="paragraph">
              <wp:posOffset>531495</wp:posOffset>
            </wp:positionV>
            <wp:extent cx="6805930" cy="15525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805930" cy="1552575"/>
                    </a:xfrm>
                    <a:prstGeom prst="rect">
                      <a:avLst/>
                    </a:prstGeom>
                  </pic:spPr>
                </pic:pic>
              </a:graphicData>
            </a:graphic>
            <wp14:sizeRelH relativeFrom="page">
              <wp14:pctWidth>0</wp14:pctWidth>
            </wp14:sizeRelH>
            <wp14:sizeRelV relativeFrom="page">
              <wp14:pctHeight>0</wp14:pctHeight>
            </wp14:sizeRelV>
          </wp:anchor>
        </w:drawing>
      </w:r>
      <w:r w:rsidR="00B256C4" w:rsidRPr="000B2F59">
        <w:t xml:space="preserve">B) </w:t>
      </w:r>
      <w:r w:rsidR="00032569" w:rsidRPr="000B2F59">
        <w:t>Información de manera agrupada por tipo de valor gubernamental o instrumento financiero en la que se consideren intereses, comisiones, tasa, perfil de vencimiento y otros gastos de la deuda.</w:t>
      </w:r>
    </w:p>
    <w:p w14:paraId="2685AFD2" w14:textId="096765EE" w:rsidR="00067955" w:rsidRPr="00067955"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bookmarkStart w:id="12" w:name="_Toc95736305"/>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Informar, tanto del ente público como cualquier transacción realizada, que haya sido sujeta a una calificación crediticia:</w:t>
      </w:r>
    </w:p>
    <w:p w14:paraId="0143583A" w14:textId="77777777" w:rsidR="007A7398" w:rsidRPr="007A6632" w:rsidRDefault="007A7398" w:rsidP="003079B1">
      <w:pPr>
        <w:tabs>
          <w:tab w:val="left" w:leader="underscore" w:pos="9639"/>
        </w:tabs>
        <w:spacing w:after="0" w:line="240" w:lineRule="auto"/>
        <w:jc w:val="both"/>
        <w:rPr>
          <w:rFonts w:asciiTheme="minorHAnsi" w:hAnsiTheme="minorHAnsi" w:cstheme="minorHAnsi"/>
        </w:rPr>
      </w:pPr>
    </w:p>
    <w:p w14:paraId="76E57EFE" w14:textId="77777777" w:rsidR="003D007C" w:rsidRPr="003D007C" w:rsidRDefault="003D007C" w:rsidP="003D007C">
      <w:pPr>
        <w:pStyle w:val="Prrafodelista"/>
        <w:numPr>
          <w:ilvl w:val="0"/>
          <w:numId w:val="43"/>
        </w:numPr>
        <w:spacing w:line="240" w:lineRule="auto"/>
      </w:pPr>
      <w:proofErr w:type="spellStart"/>
      <w:r w:rsidRPr="003D007C">
        <w:t>Moody´s</w:t>
      </w:r>
      <w:proofErr w:type="spellEnd"/>
      <w:r w:rsidRPr="003D007C">
        <w:t xml:space="preserve"> con fecha 28 de septiembre de 2022 Calificación AA+.mx estable.</w:t>
      </w:r>
    </w:p>
    <w:p w14:paraId="5D45C3F8" w14:textId="77777777" w:rsidR="003D007C" w:rsidRPr="003D007C" w:rsidRDefault="003D007C" w:rsidP="003D007C">
      <w:pPr>
        <w:pStyle w:val="Prrafodelista"/>
        <w:numPr>
          <w:ilvl w:val="0"/>
          <w:numId w:val="43"/>
        </w:numPr>
        <w:spacing w:line="240" w:lineRule="auto"/>
      </w:pPr>
      <w:r w:rsidRPr="003D007C">
        <w:t xml:space="preserve">S&amp;P Global con fecha 13 de diciembre de 2021 Calificación </w:t>
      </w:r>
      <w:proofErr w:type="spellStart"/>
      <w:r w:rsidRPr="003D007C">
        <w:t>mxAA</w:t>
      </w:r>
      <w:proofErr w:type="spellEnd"/>
      <w:r w:rsidRPr="003D007C">
        <w:t>+ estable.</w:t>
      </w:r>
    </w:p>
    <w:p w14:paraId="7E78F55E" w14:textId="77777777" w:rsidR="00DC2874" w:rsidRPr="00802576" w:rsidRDefault="00DC2874"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9BF4D7"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5012D5C2"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25F29041" w14:textId="77777777" w:rsidR="002545A5" w:rsidRDefault="002545A5" w:rsidP="003079B1">
      <w:pPr>
        <w:tabs>
          <w:tab w:val="left" w:leader="underscore" w:pos="9639"/>
        </w:tabs>
        <w:spacing w:after="0" w:line="240" w:lineRule="auto"/>
        <w:jc w:val="both"/>
        <w:rPr>
          <w:rFonts w:asciiTheme="minorHAnsi" w:hAnsiTheme="minorHAnsi" w:cstheme="minorHAnsi"/>
        </w:rPr>
      </w:pPr>
    </w:p>
    <w:p w14:paraId="5EBE160E" w14:textId="77777777" w:rsidR="00067955" w:rsidRDefault="00067955" w:rsidP="003079B1">
      <w:pPr>
        <w:tabs>
          <w:tab w:val="left" w:leader="underscore" w:pos="9639"/>
        </w:tabs>
        <w:spacing w:after="0" w:line="240" w:lineRule="auto"/>
        <w:jc w:val="both"/>
        <w:rPr>
          <w:rFonts w:asciiTheme="minorHAnsi" w:hAnsiTheme="minorHAnsi" w:cstheme="minorHAnsi"/>
        </w:rPr>
      </w:pPr>
    </w:p>
    <w:p w14:paraId="74B0C98C" w14:textId="77777777" w:rsidR="00067955" w:rsidRDefault="00067955" w:rsidP="003079B1">
      <w:pPr>
        <w:tabs>
          <w:tab w:val="left" w:leader="underscore" w:pos="9639"/>
        </w:tabs>
        <w:spacing w:after="0" w:line="240" w:lineRule="auto"/>
        <w:jc w:val="both"/>
        <w:rPr>
          <w:rFonts w:asciiTheme="minorHAnsi" w:hAnsiTheme="minorHAnsi" w:cstheme="minorHAnsi"/>
        </w:rPr>
      </w:pPr>
    </w:p>
    <w:p w14:paraId="3D30FCB1" w14:textId="77777777" w:rsidR="00067955" w:rsidRPr="007A6632" w:rsidRDefault="00067955" w:rsidP="003079B1">
      <w:pPr>
        <w:tabs>
          <w:tab w:val="left" w:leader="underscore" w:pos="9639"/>
        </w:tabs>
        <w:spacing w:after="0" w:line="240" w:lineRule="auto"/>
        <w:jc w:val="both"/>
        <w:rPr>
          <w:rFonts w:asciiTheme="minorHAnsi" w:hAnsiTheme="minorHAnsi" w:cstheme="minorHAnsi"/>
        </w:rPr>
      </w:pPr>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4" w:name="_Toc95736307"/>
      <w:r w:rsidRPr="007A6632">
        <w:rPr>
          <w:rFonts w:asciiTheme="minorHAnsi" w:hAnsiTheme="minorHAnsi" w:cstheme="minorHAnsi"/>
          <w:b/>
          <w:color w:val="auto"/>
          <w:sz w:val="22"/>
          <w:szCs w:val="22"/>
        </w:rPr>
        <w:lastRenderedPageBreak/>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50C70039" w:rsidR="00597992" w:rsidRPr="007A663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Municipio,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22A300AC" w14:textId="77777777" w:rsidR="006F6980" w:rsidRPr="007A6632" w:rsidRDefault="006F6980"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761AE2C2"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ancieras y operativas del Municipio.</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3927381A" w14:textId="4174843E"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A08CD6B" w14:textId="1C09D56A"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8D4D38" w:rsidRDefault="008D4D38"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8D4D38" w:rsidRDefault="008D4D38"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8D4D38" w:rsidRDefault="008D4D38"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8D4D38" w:rsidRDefault="008D4D38"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8D4D38" w:rsidRDefault="008D4D38"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8D4D38" w:rsidRDefault="008D4D38"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BE757C">
      <w:headerReference w:type="default" r:id="rId17"/>
      <w:footerReference w:type="default" r:id="rId18"/>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7189" w14:textId="77777777" w:rsidR="001249C9" w:rsidRDefault="001249C9" w:rsidP="00E00323">
      <w:pPr>
        <w:spacing w:after="0" w:line="240" w:lineRule="auto"/>
      </w:pPr>
      <w:r>
        <w:separator/>
      </w:r>
    </w:p>
  </w:endnote>
  <w:endnote w:type="continuationSeparator" w:id="0">
    <w:p w14:paraId="06E0D25D" w14:textId="77777777" w:rsidR="001249C9" w:rsidRDefault="001249C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5F8716F0" w:rsidR="008D4D38" w:rsidRDefault="008D4D38">
        <w:pPr>
          <w:pStyle w:val="Piedepgina"/>
          <w:jc w:val="right"/>
        </w:pPr>
        <w:r>
          <w:fldChar w:fldCharType="begin"/>
        </w:r>
        <w:r>
          <w:instrText>PAGE   \* MERGEFORMAT</w:instrText>
        </w:r>
        <w:r>
          <w:fldChar w:fldCharType="separate"/>
        </w:r>
        <w:r w:rsidR="00141563" w:rsidRPr="00141563">
          <w:rPr>
            <w:noProof/>
            <w:lang w:val="es-ES"/>
          </w:rPr>
          <w:t>15</w:t>
        </w:r>
        <w:r>
          <w:fldChar w:fldCharType="end"/>
        </w:r>
      </w:p>
    </w:sdtContent>
  </w:sdt>
  <w:p w14:paraId="37983FFD" w14:textId="77777777" w:rsidR="008D4D38" w:rsidRDefault="008D4D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BBB29" w14:textId="77777777" w:rsidR="001249C9" w:rsidRDefault="001249C9" w:rsidP="00E00323">
      <w:pPr>
        <w:spacing w:after="0" w:line="240" w:lineRule="auto"/>
      </w:pPr>
      <w:r>
        <w:separator/>
      </w:r>
    </w:p>
  </w:footnote>
  <w:footnote w:type="continuationSeparator" w:id="0">
    <w:p w14:paraId="44BBE985" w14:textId="77777777" w:rsidR="001249C9" w:rsidRDefault="001249C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135482D9" w:rsidR="008D4D38" w:rsidRDefault="008D4D38" w:rsidP="009C02E8">
    <w:pPr>
      <w:pStyle w:val="Encabezado"/>
      <w:spacing w:after="0" w:line="240" w:lineRule="auto"/>
      <w:jc w:val="center"/>
    </w:pPr>
    <w:r>
      <w:t>MUNICIPIO DE LEÓN</w:t>
    </w:r>
  </w:p>
  <w:p w14:paraId="651A4C4F" w14:textId="57343021" w:rsidR="008D4D38" w:rsidRPr="009C02E8" w:rsidRDefault="008D4D38" w:rsidP="009C02E8">
    <w:pPr>
      <w:pStyle w:val="Encabezado"/>
      <w:spacing w:after="0" w:line="240" w:lineRule="auto"/>
      <w:jc w:val="center"/>
    </w:pPr>
    <w:r>
      <w:t>CORRESPONDIENTES AL 30 DE SEPTIEMBRE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5"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32"/>
  </w:num>
  <w:num w:numId="4">
    <w:abstractNumId w:val="42"/>
  </w:num>
  <w:num w:numId="5">
    <w:abstractNumId w:val="34"/>
  </w:num>
  <w:num w:numId="6">
    <w:abstractNumId w:val="20"/>
  </w:num>
  <w:num w:numId="7">
    <w:abstractNumId w:val="41"/>
  </w:num>
  <w:num w:numId="8">
    <w:abstractNumId w:val="5"/>
  </w:num>
  <w:num w:numId="9">
    <w:abstractNumId w:val="35"/>
  </w:num>
  <w:num w:numId="10">
    <w:abstractNumId w:val="30"/>
  </w:num>
  <w:num w:numId="11">
    <w:abstractNumId w:val="10"/>
  </w:num>
  <w:num w:numId="12">
    <w:abstractNumId w:val="40"/>
  </w:num>
  <w:num w:numId="13">
    <w:abstractNumId w:val="11"/>
  </w:num>
  <w:num w:numId="14">
    <w:abstractNumId w:val="29"/>
  </w:num>
  <w:num w:numId="15">
    <w:abstractNumId w:val="19"/>
  </w:num>
  <w:num w:numId="16">
    <w:abstractNumId w:val="12"/>
  </w:num>
  <w:num w:numId="17">
    <w:abstractNumId w:val="2"/>
  </w:num>
  <w:num w:numId="18">
    <w:abstractNumId w:val="39"/>
  </w:num>
  <w:num w:numId="19">
    <w:abstractNumId w:val="15"/>
  </w:num>
  <w:num w:numId="20">
    <w:abstractNumId w:val="23"/>
  </w:num>
  <w:num w:numId="21">
    <w:abstractNumId w:val="33"/>
  </w:num>
  <w:num w:numId="22">
    <w:abstractNumId w:val="26"/>
  </w:num>
  <w:num w:numId="23">
    <w:abstractNumId w:val="4"/>
  </w:num>
  <w:num w:numId="24">
    <w:abstractNumId w:val="27"/>
  </w:num>
  <w:num w:numId="25">
    <w:abstractNumId w:val="18"/>
  </w:num>
  <w:num w:numId="26">
    <w:abstractNumId w:val="8"/>
  </w:num>
  <w:num w:numId="27">
    <w:abstractNumId w:val="16"/>
  </w:num>
  <w:num w:numId="28">
    <w:abstractNumId w:val="28"/>
  </w:num>
  <w:num w:numId="29">
    <w:abstractNumId w:val="14"/>
  </w:num>
  <w:num w:numId="30">
    <w:abstractNumId w:val="7"/>
  </w:num>
  <w:num w:numId="31">
    <w:abstractNumId w:val="38"/>
  </w:num>
  <w:num w:numId="32">
    <w:abstractNumId w:val="13"/>
  </w:num>
  <w:num w:numId="33">
    <w:abstractNumId w:val="22"/>
  </w:num>
  <w:num w:numId="34">
    <w:abstractNumId w:val="3"/>
  </w:num>
  <w:num w:numId="35">
    <w:abstractNumId w:val="37"/>
  </w:num>
  <w:num w:numId="36">
    <w:abstractNumId w:val="21"/>
  </w:num>
  <w:num w:numId="37">
    <w:abstractNumId w:val="17"/>
  </w:num>
  <w:num w:numId="38">
    <w:abstractNumId w:val="6"/>
  </w:num>
  <w:num w:numId="39">
    <w:abstractNumId w:val="24"/>
  </w:num>
  <w:num w:numId="40">
    <w:abstractNumId w:val="0"/>
  </w:num>
  <w:num w:numId="41">
    <w:abstractNumId w:val="31"/>
  </w:num>
  <w:num w:numId="42">
    <w:abstractNumId w:val="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32569"/>
    <w:rsid w:val="00032E06"/>
    <w:rsid w:val="00036F12"/>
    <w:rsid w:val="00040D4F"/>
    <w:rsid w:val="000465EF"/>
    <w:rsid w:val="000469D4"/>
    <w:rsid w:val="000477D8"/>
    <w:rsid w:val="00063173"/>
    <w:rsid w:val="00067955"/>
    <w:rsid w:val="00072DBD"/>
    <w:rsid w:val="00075DAB"/>
    <w:rsid w:val="000763DF"/>
    <w:rsid w:val="00084EAE"/>
    <w:rsid w:val="00091CE6"/>
    <w:rsid w:val="00096908"/>
    <w:rsid w:val="000A403D"/>
    <w:rsid w:val="000A6417"/>
    <w:rsid w:val="000B01B0"/>
    <w:rsid w:val="000B2F59"/>
    <w:rsid w:val="000B58E5"/>
    <w:rsid w:val="000B7810"/>
    <w:rsid w:val="000C28F2"/>
    <w:rsid w:val="000C3365"/>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70543"/>
    <w:rsid w:val="00174003"/>
    <w:rsid w:val="0018493A"/>
    <w:rsid w:val="00190CC3"/>
    <w:rsid w:val="00191AF4"/>
    <w:rsid w:val="001973A2"/>
    <w:rsid w:val="001A024F"/>
    <w:rsid w:val="001A3427"/>
    <w:rsid w:val="001A3846"/>
    <w:rsid w:val="001A47BF"/>
    <w:rsid w:val="001C652E"/>
    <w:rsid w:val="001C75F2"/>
    <w:rsid w:val="001D2063"/>
    <w:rsid w:val="001D345B"/>
    <w:rsid w:val="001D43E9"/>
    <w:rsid w:val="001E2F87"/>
    <w:rsid w:val="001E3EA5"/>
    <w:rsid w:val="001F1D05"/>
    <w:rsid w:val="00210C0B"/>
    <w:rsid w:val="0021773E"/>
    <w:rsid w:val="00232175"/>
    <w:rsid w:val="00250208"/>
    <w:rsid w:val="002545A5"/>
    <w:rsid w:val="00254A7F"/>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3079B1"/>
    <w:rsid w:val="00331CE1"/>
    <w:rsid w:val="00335E50"/>
    <w:rsid w:val="00335F5A"/>
    <w:rsid w:val="00342C8E"/>
    <w:rsid w:val="003453CA"/>
    <w:rsid w:val="00354A63"/>
    <w:rsid w:val="00361237"/>
    <w:rsid w:val="00367C98"/>
    <w:rsid w:val="003A2952"/>
    <w:rsid w:val="003D007C"/>
    <w:rsid w:val="003D1D5C"/>
    <w:rsid w:val="003D4EFF"/>
    <w:rsid w:val="003D655F"/>
    <w:rsid w:val="00404DF7"/>
    <w:rsid w:val="00414F93"/>
    <w:rsid w:val="00422C36"/>
    <w:rsid w:val="004356BA"/>
    <w:rsid w:val="00435A87"/>
    <w:rsid w:val="0044438A"/>
    <w:rsid w:val="00445A55"/>
    <w:rsid w:val="004663D0"/>
    <w:rsid w:val="004762E9"/>
    <w:rsid w:val="00476337"/>
    <w:rsid w:val="004763B2"/>
    <w:rsid w:val="00482144"/>
    <w:rsid w:val="00482FE8"/>
    <w:rsid w:val="004851D2"/>
    <w:rsid w:val="004A1233"/>
    <w:rsid w:val="004A42D6"/>
    <w:rsid w:val="004A58C8"/>
    <w:rsid w:val="004B0087"/>
    <w:rsid w:val="004B4F64"/>
    <w:rsid w:val="004E0D53"/>
    <w:rsid w:val="004E1EEB"/>
    <w:rsid w:val="004E2449"/>
    <w:rsid w:val="004F1603"/>
    <w:rsid w:val="004F234D"/>
    <w:rsid w:val="00506441"/>
    <w:rsid w:val="0050663A"/>
    <w:rsid w:val="00511191"/>
    <w:rsid w:val="00512089"/>
    <w:rsid w:val="005123E8"/>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A118C"/>
    <w:rsid w:val="006B1B25"/>
    <w:rsid w:val="006B3DC3"/>
    <w:rsid w:val="006B42B7"/>
    <w:rsid w:val="006C12C0"/>
    <w:rsid w:val="006D6520"/>
    <w:rsid w:val="006E2CC5"/>
    <w:rsid w:val="006E31CB"/>
    <w:rsid w:val="006F08B9"/>
    <w:rsid w:val="006F6980"/>
    <w:rsid w:val="00705192"/>
    <w:rsid w:val="00725934"/>
    <w:rsid w:val="00726B62"/>
    <w:rsid w:val="00732E3A"/>
    <w:rsid w:val="0074043A"/>
    <w:rsid w:val="00743C18"/>
    <w:rsid w:val="00744F66"/>
    <w:rsid w:val="00747A25"/>
    <w:rsid w:val="007610BC"/>
    <w:rsid w:val="00762134"/>
    <w:rsid w:val="0076590E"/>
    <w:rsid w:val="007714AB"/>
    <w:rsid w:val="007764F6"/>
    <w:rsid w:val="007902FB"/>
    <w:rsid w:val="007961DD"/>
    <w:rsid w:val="00797EEC"/>
    <w:rsid w:val="007A5EC7"/>
    <w:rsid w:val="007A6632"/>
    <w:rsid w:val="007A7398"/>
    <w:rsid w:val="007C25F8"/>
    <w:rsid w:val="007C2B14"/>
    <w:rsid w:val="007D1E76"/>
    <w:rsid w:val="007D4484"/>
    <w:rsid w:val="007D7BED"/>
    <w:rsid w:val="007F3887"/>
    <w:rsid w:val="00802576"/>
    <w:rsid w:val="00813F40"/>
    <w:rsid w:val="00831A04"/>
    <w:rsid w:val="008459D9"/>
    <w:rsid w:val="00854DA3"/>
    <w:rsid w:val="008631DA"/>
    <w:rsid w:val="0086459F"/>
    <w:rsid w:val="00875434"/>
    <w:rsid w:val="008B3161"/>
    <w:rsid w:val="008C3BB8"/>
    <w:rsid w:val="008D4D38"/>
    <w:rsid w:val="008D6232"/>
    <w:rsid w:val="008E076C"/>
    <w:rsid w:val="008E7BFC"/>
    <w:rsid w:val="008F0FBD"/>
    <w:rsid w:val="008F36F2"/>
    <w:rsid w:val="00903213"/>
    <w:rsid w:val="0092765C"/>
    <w:rsid w:val="00931A4E"/>
    <w:rsid w:val="0094531E"/>
    <w:rsid w:val="00950E68"/>
    <w:rsid w:val="009648F1"/>
    <w:rsid w:val="0096684B"/>
    <w:rsid w:val="00974471"/>
    <w:rsid w:val="00987863"/>
    <w:rsid w:val="0099046D"/>
    <w:rsid w:val="00992B43"/>
    <w:rsid w:val="009A3B02"/>
    <w:rsid w:val="009C02E8"/>
    <w:rsid w:val="009C23D5"/>
    <w:rsid w:val="009C3E80"/>
    <w:rsid w:val="009C4A10"/>
    <w:rsid w:val="009D0A52"/>
    <w:rsid w:val="009D5187"/>
    <w:rsid w:val="009D79EA"/>
    <w:rsid w:val="009E5BE2"/>
    <w:rsid w:val="009F1A92"/>
    <w:rsid w:val="009F3A02"/>
    <w:rsid w:val="00A1722B"/>
    <w:rsid w:val="00A401A2"/>
    <w:rsid w:val="00A42842"/>
    <w:rsid w:val="00A4610E"/>
    <w:rsid w:val="00A54409"/>
    <w:rsid w:val="00A546A5"/>
    <w:rsid w:val="00A63C07"/>
    <w:rsid w:val="00A730E0"/>
    <w:rsid w:val="00A86A33"/>
    <w:rsid w:val="00AA41E5"/>
    <w:rsid w:val="00AA5B6B"/>
    <w:rsid w:val="00AA77C5"/>
    <w:rsid w:val="00AB722B"/>
    <w:rsid w:val="00AC141F"/>
    <w:rsid w:val="00AC3F90"/>
    <w:rsid w:val="00AC7281"/>
    <w:rsid w:val="00AD16FD"/>
    <w:rsid w:val="00AE1526"/>
    <w:rsid w:val="00AE1F6A"/>
    <w:rsid w:val="00B03C9F"/>
    <w:rsid w:val="00B149E0"/>
    <w:rsid w:val="00B172D2"/>
    <w:rsid w:val="00B256C4"/>
    <w:rsid w:val="00B416B8"/>
    <w:rsid w:val="00B43686"/>
    <w:rsid w:val="00B52454"/>
    <w:rsid w:val="00B663EE"/>
    <w:rsid w:val="00B723C8"/>
    <w:rsid w:val="00B76C35"/>
    <w:rsid w:val="00B854B5"/>
    <w:rsid w:val="00BA4639"/>
    <w:rsid w:val="00BB021C"/>
    <w:rsid w:val="00BB058F"/>
    <w:rsid w:val="00BC2DFB"/>
    <w:rsid w:val="00BC6E71"/>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41C4"/>
    <w:rsid w:val="00CB4F27"/>
    <w:rsid w:val="00CB503F"/>
    <w:rsid w:val="00CD5D5B"/>
    <w:rsid w:val="00CD72F2"/>
    <w:rsid w:val="00CD768E"/>
    <w:rsid w:val="00CF1316"/>
    <w:rsid w:val="00CF1967"/>
    <w:rsid w:val="00CF1B08"/>
    <w:rsid w:val="00D00C54"/>
    <w:rsid w:val="00D01F0A"/>
    <w:rsid w:val="00D13C44"/>
    <w:rsid w:val="00D16411"/>
    <w:rsid w:val="00D27974"/>
    <w:rsid w:val="00D27A8C"/>
    <w:rsid w:val="00D40FC2"/>
    <w:rsid w:val="00D43DF2"/>
    <w:rsid w:val="00D47538"/>
    <w:rsid w:val="00D5018E"/>
    <w:rsid w:val="00D64DAB"/>
    <w:rsid w:val="00D7073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487F"/>
    <w:rsid w:val="00E51658"/>
    <w:rsid w:val="00E60235"/>
    <w:rsid w:val="00E63287"/>
    <w:rsid w:val="00E74967"/>
    <w:rsid w:val="00E7559F"/>
    <w:rsid w:val="00E92EF2"/>
    <w:rsid w:val="00E95DF1"/>
    <w:rsid w:val="00EA37F5"/>
    <w:rsid w:val="00EA4283"/>
    <w:rsid w:val="00EA7915"/>
    <w:rsid w:val="00EB2C1F"/>
    <w:rsid w:val="00ED2BF1"/>
    <w:rsid w:val="00EE0B80"/>
    <w:rsid w:val="00EF2C35"/>
    <w:rsid w:val="00EF7AC8"/>
    <w:rsid w:val="00F044D1"/>
    <w:rsid w:val="00F06D82"/>
    <w:rsid w:val="00F155D3"/>
    <w:rsid w:val="00F16BCA"/>
    <w:rsid w:val="00F31B23"/>
    <w:rsid w:val="00F46719"/>
    <w:rsid w:val="00F53C4D"/>
    <w:rsid w:val="00F54F6F"/>
    <w:rsid w:val="00F6102D"/>
    <w:rsid w:val="00F64C83"/>
    <w:rsid w:val="00F65A92"/>
    <w:rsid w:val="00F678C0"/>
    <w:rsid w:val="00F73B21"/>
    <w:rsid w:val="00F839D2"/>
    <w:rsid w:val="00F857D7"/>
    <w:rsid w:val="00F86992"/>
    <w:rsid w:val="00F9124A"/>
    <w:rsid w:val="00F9188A"/>
    <w:rsid w:val="00FA0880"/>
    <w:rsid w:val="00FA5519"/>
    <w:rsid w:val="00FA6403"/>
    <w:rsid w:val="00FB189A"/>
    <w:rsid w:val="00FC29B6"/>
    <w:rsid w:val="00FC5447"/>
    <w:rsid w:val="00FE05BB"/>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92D37D-142C-41C4-9BD7-E3477929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4898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22</cp:revision>
  <cp:lastPrinted>2022-10-19T15:47:00Z</cp:lastPrinted>
  <dcterms:created xsi:type="dcterms:W3CDTF">2022-07-14T18:12:00Z</dcterms:created>
  <dcterms:modified xsi:type="dcterms:W3CDTF">2022-10-19T16:04:00Z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